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1E1B4B"/>
            <w:tcMar>
              <w:top w:w="3200" w:type="dxa"/>
              <w:bottom w:w="3200" w:type="dxa"/>
              <w:left w:w="720" w:type="dxa"/>
              <w:right w:w="720" w:type="dxa"/>
            </w:tcMar>
          </w:tcPr>
          <w:p>
            <w:pPr>
              <w:spacing w:after="240" w:before="480"/>
              <w:jc w:val="center"/>
            </w:pPr>
            <w:r>
              <w:rPr>
                <w:rFonts w:ascii="Calibri" w:hAnsi="Calibri"/>
                <w:b/>
                <w:color w:val="FFFFFF"/>
                <w:sz w:val="48"/>
              </w:rPr>
              <w:t>ENTERPRISE AI ADOPTION</w:t>
              <w:br/>
              <w:t>MATURITY MODEL</w:t>
              <w:br/>
            </w:r>
            <w:r>
              <w:rPr>
                <w:rFonts w:ascii="Calibri" w:hAnsi="Calibri"/>
                <w:i/>
                <w:color w:val="818CF8"/>
                <w:sz w:val="26"/>
              </w:rPr>
              <w:t>Workshop Facilitator Guide — 90-Minute Leadership Playbook</w:t>
              <w:br/>
            </w:r>
          </w:p>
          <w:p>
            <w:pPr>
              <w:spacing w:before="960" w:after="240"/>
              <w:jc w:val="center"/>
            </w:pPr>
            <w:r>
              <w:rPr>
                <w:rFonts w:ascii="Calibri" w:hAnsi="Calibri"/>
                <w:b/>
                <w:color w:val="FFFFFF"/>
                <w:sz w:val="19"/>
              </w:rPr>
              <w:t>VATSAL SHAH   |   AI ARCHITECTURE PRACTICE   |   2026</w:t>
              <w:br/>
            </w:r>
            <w:r>
              <w:rPr>
                <w:rFonts w:ascii="Calibri" w:hAnsi="Calibri"/>
                <w:color w:val="818CF8"/>
                <w:sz w:val="19"/>
              </w:rPr>
              <w:t>shahvatsal.com</w:t>
            </w:r>
          </w:p>
        </w:tc>
      </w:tr>
    </w:tbl>
    <w:p>
      <w:r>
        <w:br w:type="page"/>
      </w:r>
    </w:p>
    <w:p>
      <w:pPr>
        <w:spacing w:after="240" w:before="0" w:line="276" w:lineRule="auto"/>
        <w:jc w:val="both"/>
      </w:pPr>
      <w:r>
        <w:rPr>
          <w:rFonts w:ascii="Calibri" w:hAnsi="Calibri"/>
          <w:b w:val="0"/>
          <w:i/>
          <w:color w:val="334155"/>
          <w:sz w:val="21"/>
        </w:rPr>
        <w:t>This workshop playbook guides a facilitator (e.g. Chief HR Officer, Chief Digital Officer, or Change Management Consultant) in running a structured alignment workshop with executive stakeholders. The workshop leverages the 5-dimension scorecard to map capabilities, prioritize change budgets, assign roadmap owners, and calculate initial ROI metrics.</w:t>
      </w:r>
    </w:p>
    <w:p>
      <w:pPr>
        <w:spacing w:before="280" w:after="80"/>
        <w:pBdr>
          <w:bottom w:val="single" w:sz="12" w:space="2" w:color="4F46E5"/>
        </w:pBdr>
      </w:pPr>
      <w:r>
        <w:rPr>
          <w:rFonts w:ascii="Calibri" w:hAnsi="Calibri"/>
          <w:b/>
          <w:color w:val="1E1B4B"/>
          <w:sz w:val="36"/>
        </w:rPr>
        <w:t>Workshop Objectives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Align cross-functional leadership on the definition of AI maturity dimensions.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Establish an agreed capability score baseline across all five assessment verticals.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Pinpoint the top 3 organizational bottlenecks preventing value realization.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Assign formal executive ownership and define a shared 90-day change roadmap.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Validate initial program ROI projections to present to the board of directors.</w:t>
      </w:r>
    </w:p>
    <w:p>
      <w:pPr>
        <w:spacing w:before="280" w:after="80"/>
        <w:pBdr>
          <w:bottom w:val="single" w:sz="12" w:space="2" w:color="4F46E5"/>
        </w:pBdr>
      </w:pPr>
      <w:r>
        <w:rPr>
          <w:rFonts w:ascii="Calibri" w:hAnsi="Calibri"/>
          <w:b/>
          <w:color w:val="1E1B4B"/>
          <w:sz w:val="36"/>
        </w:rPr>
        <w:t>Preparation Gate Checklist</w:t>
      </w:r>
    </w:p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Two Weeks Prior (The Logistics)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Send the 12-question pre-workshop literacy assessment to all department heads.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Request automated WAU seat usage reports from the IT department.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Compile a register of shadow AI tools flagged by endpoint security logs.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Pre-populate the workbook's assessment tabs with survey aggregations.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Confirm attendance of: CHRO, CDO, Legal Counsel, Finance Lead, and Operations heads.</w:t>
      </w:r>
    </w:p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One Day Prior (Final Prep)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Load the Scoring Workbook on the presentation computer and verify radar chart formulas.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Prepare five breakout question prompts printed on discussion index cards.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Set up local polling services (Mentimeter or Slido) for anonymous rating collections.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Draw the 90-Day Sprint roadmap skeleton on the whiteboard.</w:t>
      </w:r>
    </w:p>
    <w:p>
      <w:pPr>
        <w:spacing w:before="280" w:after="80"/>
        <w:pBdr>
          <w:bottom w:val="single" w:sz="12" w:space="2" w:color="4F46E5"/>
        </w:pBdr>
      </w:pPr>
      <w:r>
        <w:rPr>
          <w:rFonts w:ascii="Calibri" w:hAnsi="Calibri"/>
          <w:b/>
          <w:color w:val="1E1B4B"/>
          <w:sz w:val="36"/>
        </w:rPr>
        <w:t>Workshop Session Agenda (90 Minutes)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1B4B"/>
          </w:tcPr>
          <w:p>
            <w:pPr>
              <w:spacing w:after="40" w:before="40"/>
            </w:pPr>
            <w:r>
              <w:rPr>
                <w:rFonts w:ascii="Calibri" w:hAnsi="Calibri"/>
                <w:b/>
                <w:color w:val="FFFFFF"/>
                <w:sz w:val="18"/>
              </w:rPr>
              <w:t>Time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1B4B"/>
          </w:tcPr>
          <w:p>
            <w:pPr>
              <w:spacing w:after="40" w:before="40"/>
            </w:pPr>
            <w:r>
              <w:rPr>
                <w:rFonts w:ascii="Calibri" w:hAnsi="Calibri"/>
                <w:b/>
                <w:color w:val="FFFFFF"/>
                <w:sz w:val="18"/>
              </w:rPr>
              <w:t>Segment Title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1B4B"/>
          </w:tcPr>
          <w:p>
            <w:pPr>
              <w:spacing w:after="40" w:before="40"/>
            </w:pPr>
            <w:r>
              <w:rPr>
                <w:rFonts w:ascii="Calibri" w:hAnsi="Calibri"/>
                <w:b/>
                <w:color w:val="FFFFFF"/>
                <w:sz w:val="18"/>
              </w:rPr>
              <w:t>Interaction Type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1B4B"/>
          </w:tcPr>
          <w:p>
            <w:pPr>
              <w:spacing w:after="40" w:before="40"/>
            </w:pPr>
            <w:r>
              <w:rPr>
                <w:rFonts w:ascii="Calibri" w:hAnsi="Calibri"/>
                <w:b/>
                <w:color w:val="FFFFFF"/>
                <w:sz w:val="18"/>
              </w:rPr>
              <w:t>Facilitator Action Mode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0:00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Welcome &amp; Change Context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Presentation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Introduce the Human AI Gap concept. Show that tools without literacy fail to produce value.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0:10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Maturity Grid Walkthrough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Lecture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Explain the 5-dimension rubric. Clarify Level 1 (Ad-Hoc) vs Level 5 (Leading) criteria.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0:20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Table Breakout Assessments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Group Debate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Distribute cards. Assign dimensions. Groups debate and vote on current scores (1-5).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0:50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Aggregate Score Reveal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Interactive Chart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Enter group votes in the Scoring Workbook. Project and discuss the resulting Radar Chart.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1:00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Gap Prioritization Sprint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Dot Voting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Each leader votes on the top 3 gaps to address first. Highlight critical dependencies.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1:15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90-Day Owner Roadmap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Whiteboard Drill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Assign named phase owners: Phase 1 (L&amp;D), Phase 2 (IT/Security), Phase 3 (VRO).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1:25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ROI Calculator Preview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Modelling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EF2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Enter live headcount and salaries in ROI sheet. Share Year 1 net value calculation.</w:t>
            </w:r>
          </w:p>
        </w:tc>
      </w:tr>
      <w:tr>
        <w:tc>
          <w:tcPr>
            <w:tcW w:type="dxa" w:w="850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1:30</w:t>
            </w:r>
          </w:p>
        </w:tc>
        <w:tc>
          <w:tcPr>
            <w:tcW w:type="dxa" w:w="2268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Action Items &amp; Wrap-Up</w:t>
            </w:r>
          </w:p>
        </w:tc>
        <w:tc>
          <w:tcPr>
            <w:tcW w:type="dxa" w:w="1701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Closing</w:t>
            </w:r>
          </w:p>
        </w:tc>
        <w:tc>
          <w:tcPr>
            <w:tcW w:type="dxa" w:w="4819"/>
            <w:tcMar>
              <w:top w:w="100" w:type="dxa"/>
              <w:bottom w:w="100" w:type="dxa"/>
              <w:left w:w="140" w:type="dxa"/>
              <w:right w:w="140" w:type="dxa"/>
            </w:tcMar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</w:tcPr>
          <w:p>
            <w:pPr>
              <w:spacing w:after="40" w:before="40"/>
            </w:pPr>
            <w:r>
              <w:rPr>
                <w:rFonts w:ascii="Calibri" w:hAnsi="Calibri"/>
                <w:color w:val="334155"/>
                <w:sz w:val="18"/>
              </w:rPr>
              <w:t>Agree on 30-day review cadence. Assign the board executive brief compilation.</w:t>
            </w:r>
          </w:p>
        </w:tc>
      </w:tr>
    </w:tbl>
    <w:p>
      <w:pPr>
        <w:spacing w:before="280" w:after="80"/>
        <w:pBdr>
          <w:bottom w:val="single" w:sz="12" w:space="2" w:color="4F46E5"/>
        </w:pBdr>
      </w:pPr>
      <w:r>
        <w:rPr>
          <w:rFonts w:ascii="Calibri" w:hAnsi="Calibri"/>
          <w:b/>
          <w:color w:val="1E1B4B"/>
          <w:sz w:val="36"/>
        </w:rPr>
        <w:t>Dimension Facilitation Guidelines</w:t>
      </w:r>
    </w:p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Dimension 1: Strategy &amp; Executive Sponsorship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Discussion Prompts: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 we have an active, cross-functional steering committee that meets monthly?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Are digital adoption metrics included in executive performance compensation plans?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Is our AI change budget managed as a long-term investment, or an ad-hoc IT cost?</w:t>
      </w:r>
    </w:p>
    <w:p>
      <w:pPr>
        <w:spacing w:after="16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📋 &lt;b&gt;Evidence Marker&lt;/b&gt;: Evidence Standard: Request the charter of the steering committee. If no charter exists: score is L1-L2.</w:t>
      </w:r>
    </w:p>
    <w:p/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Dimension 2: Workforce AI Literacy &amp; Training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Discussion Prompts: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Have we run a standardized AI literacy baseline assessment in the last 6 months?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 departments have custom prompt libraries published in shared spaces?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Does our HR group track training tracks by job title rather than generic courses?</w:t>
      </w:r>
    </w:p>
    <w:p>
      <w:pPr>
        <w:spacing w:after="16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📋 &lt;b&gt;Evidence Marker&lt;/b&gt;: Evidence Standard: Ask managers: 'Can you show your team's prompt engineering cheat sheet?' Absence = L1-L2.</w:t>
      </w:r>
    </w:p>
    <w:p/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Dimension 3: Tooling Adoption &amp; Copilot Rollout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Discussion Prompts: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 employees use personal AI logins, or secure corporate single-sign-on gateways?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Are API keys, fine-tuning checkpoints, and model weights stored in security vaults?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What is our active user rate (WAU) on purchased Copilot license blocks?</w:t>
      </w:r>
    </w:p>
    <w:p>
      <w:pPr>
        <w:spacing w:after="16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📋 &lt;b&gt;Evidence Marker&lt;/b&gt;: Evidence Standard: Pull IT logs for Copilot active usage. If utilization is &lt;45%: score is L2.</w:t>
      </w:r>
    </w:p>
    <w:p/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Dimension 4: Governance, Risk &amp; AI Ethics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Discussion Prompts: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When was our corporate AI Usage Policy last reviewed and signed by Legal?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 we run automated checks to catch customer PII leaking through chat prompts?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Is there an escalation protocol for handling shadow AI tools identified by security?</w:t>
      </w:r>
    </w:p>
    <w:p>
      <w:pPr>
        <w:spacing w:after="16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📋 &lt;b&gt;Evidence Marker&lt;/b&gt;: Evidence Standard: Request the AI vendor vetting protocol from procurement. If not standardized: score is L2.</w:t>
      </w:r>
    </w:p>
    <w:p/>
    <w:p>
      <w:pPr>
        <w:spacing w:before="240" w:after="80"/>
      </w:pPr>
      <w:r>
        <w:rPr>
          <w:rFonts w:ascii="Calibri" w:hAnsi="Calibri"/>
          <w:b/>
          <w:color w:val="4F46E5"/>
          <w:sz w:val="26"/>
        </w:rPr>
        <w:t>Dimension 5: Value Realization &amp; Telemetry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Discussion Prompts: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 we measure specific task speed uplifts, or rely on vendor satisfaction quotes?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Are license costs mapped to department budgets to enforce local value ownership?</w:t>
      </w:r>
    </w:p>
    <w:p>
      <w:pPr>
        <w:pStyle w:val="ListBullet"/>
        <w:spacing w:after="60" w:before="0"/>
        <w:ind w:left="340"/>
      </w:pPr>
      <w:r>
        <w:rPr>
          <w:rFonts w:ascii="Calibri" w:hAnsi="Calibri"/>
          <w:color w:val="334155"/>
          <w:sz w:val="20"/>
        </w:rPr>
        <w:t>Does the Value Realization Office (VRO) report ROI indicators to the board?</w:t>
      </w:r>
    </w:p>
    <w:p>
      <w:pPr>
        <w:spacing w:after="16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📋 &lt;b&gt;Evidence Marker&lt;/b&gt;: Evidence Standard: Ask Finance: 'What is our Year 1 net savings contribution from AI?' If unknown: L1-L2.</w:t>
      </w:r>
    </w:p>
    <w:p/>
    <w:p>
      <w:pPr>
        <w:spacing w:before="280" w:after="80"/>
        <w:pBdr>
          <w:bottom w:val="single" w:sz="12" w:space="2" w:color="4F46E5"/>
        </w:pBdr>
      </w:pPr>
      <w:r>
        <w:rPr>
          <w:rFonts w:ascii="Calibri" w:hAnsi="Calibri"/>
          <w:b/>
          <w:color w:val="1E1B4B"/>
          <w:sz w:val="36"/>
        </w:rPr>
        <w:t>Facilitator Warning Signs &amp; Common Anti-Patterns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⚠ The 'We've Checked the Box' Illusion</w:t>
      </w:r>
    </w:p>
    <w:p>
      <w:pPr>
        <w:spacing w:after="20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Symptom: Leaders point to a single general AI webinar completed last quarter as proof of literacy.</w:t>
        <w:br/>
        <w:t>Facilitator Pivot: Push for metrics: 'What percentage of our project managers build prompt templates in their daily workflow?' General webinars do not create operational literacy.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⚠ The 'IT Governance' Silo</w:t>
      </w:r>
    </w:p>
    <w:p>
      <w:pPr>
        <w:spacing w:after="20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Symptom: Business leaders assume data privacy and tool policy are purely IT concerns.</w:t>
        <w:br/>
        <w:t>Facilitator Pivot: Reframe as an operational risk: 'If an employee inputs customer records into a public model, the fallout affects customer retention and compliance, not just server logs. Leadership must co-sign the policy.'</w:t>
      </w:r>
    </w:p>
    <w:p>
      <w:pPr>
        <w:spacing w:before="160" w:after="40"/>
      </w:pPr>
      <w:r>
        <w:rPr>
          <w:rFonts w:ascii="Calibri" w:hAnsi="Calibri"/>
          <w:b/>
          <w:color w:val="334155"/>
          <w:sz w:val="22"/>
        </w:rPr>
        <w:t>⚠ The 'Productivity Without Measurement' Trap</w:t>
      </w:r>
    </w:p>
    <w:p>
      <w:pPr>
        <w:spacing w:after="200" w:before="0" w:line="276" w:lineRule="auto"/>
        <w:jc w:val="both"/>
      </w:pPr>
      <w:r>
        <w:rPr>
          <w:rFonts w:ascii="Calibri" w:hAnsi="Calibri"/>
          <w:b w:val="0"/>
          <w:i w:val="0"/>
          <w:color w:val="334155"/>
          <w:sz w:val="21"/>
        </w:rPr>
        <w:t>Symptom: Steer committees approve licensing seats under 'general efficiency goals' without setting tracking targets.</w:t>
        <w:br/>
        <w:t>Facilitator Pivot: Lock down targets in the room: 'We must identify three specific tasks—such as PRD creation, customer support ticket triage, or code testing—where we will baseline cycle times prior to tool deployment.'</w:t>
      </w:r>
    </w:p>
    <w:p/>
    <w:p>
      <w:pPr>
        <w:spacing w:after="120" w:before="0" w:line="276" w:lineRule="auto"/>
        <w:jc w:val="both"/>
      </w:pPr>
      <w:r>
        <w:rPr>
          <w:rFonts w:ascii="Calibri" w:hAnsi="Calibri"/>
          <w:b w:val="0"/>
          <w:i/>
          <w:color w:val="334155"/>
          <w:sz w:val="21"/>
        </w:rPr>
        <w:t>© 2026 Vatsal Shah · AI Architecture Practice · shahvatsal.com. All rights reserved. This facilitation playbook is proprietary client IP.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both"/>
    </w:pPr>
    <w:r>
      <w:rPr>
        <w:rFonts w:ascii="Calibri" w:hAnsi="Calibri"/>
        <w:color w:val="64748B"/>
        <w:sz w:val="17"/>
      </w:rPr>
      <w:t>Enterprise AI Adoption Facilitator Guide  ·  shahvatsal.com</w:t>
    </w:r>
    <w:r>
      <w:rPr>
        <w:rFonts w:ascii="Calibri" w:hAnsi="Calibri"/>
        <w:color w:val="64748B"/>
        <w:sz w:val="17"/>
      </w:rPr>
      <w:t xml:space="preserve">                                                     Page </w:t>
    </w:r>
    <w:r>
      <w:rPr>
        <w:rFonts w:ascii="Calibri" w:hAnsi="Calibri"/>
        <w:color w:val="64748B"/>
        <w:sz w:val="17"/>
      </w:rP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color w:val="64748B"/>
        <w:sz w:val="17"/>
      </w:rPr>
      <w:t>VATSAL SHAH  |  AI ARCHITECTURE PRACTICE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