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drawing>
          <wp:inline xmlns:a="http://schemas.openxmlformats.org/drawingml/2006/main" xmlns:pic="http://schemas.openxmlformats.org/drawingml/2006/picture">
            <wp:extent cx="1828800" cy="609600"/>
            <wp:docPr id="1" name="Picture 1"/>
            <wp:cNvGraphicFramePr>
              <a:graphicFrameLocks noChangeAspect="1"/>
            </wp:cNvGraphicFramePr>
            <a:graphic>
              <a:graphicData uri="http://schemas.openxmlformats.org/drawingml/2006/picture">
                <pic:pic>
                  <pic:nvPicPr>
                    <pic:cNvPr id="0" name="vatsalshah_logo.png"/>
                    <pic:cNvPicPr/>
                  </pic:nvPicPr>
                  <pic:blipFill>
                    <a:blip r:embed="rId9"/>
                    <a:stretch>
                      <a:fillRect/>
                    </a:stretch>
                  </pic:blipFill>
                  <pic:spPr>
                    <a:xfrm>
                      <a:off x="0" y="0"/>
                      <a:ext cx="1828800" cy="609600"/>
                    </a:xfrm>
                    <a:prstGeom prst="rect"/>
                  </pic:spPr>
                </pic:pic>
              </a:graphicData>
            </a:graphic>
          </wp:inline>
        </w:drawing>
      </w:r>
    </w:p>
    <w:p>
      <w:pPr>
        <w:spacing w:before="400" w:after="120"/>
      </w:pPr>
      <w:r>
        <w:rPr>
          <w:rFonts w:ascii="Segoe UI" w:hAnsi="Segoe UI"/>
          <w:b/>
          <w:color w:val="1E1B4B"/>
          <w:sz w:val="44"/>
        </w:rPr>
        <w:t>Workshop Facilitator Guide: LLM Cost Assessment</w:t>
      </w:r>
    </w:p>
    <w:p>
      <w:pPr>
        <w:spacing w:after="480"/>
      </w:pPr>
      <w:r>
        <w:rPr>
          <w:rFonts w:ascii="Segoe UI" w:hAnsi="Segoe UI"/>
          <w:i/>
          <w:sz w:val="24"/>
        </w:rPr>
        <w:t>Detailed playbook and agenda for conducting a strategic 90-minute AI cost optimization audit.</w:t>
      </w:r>
    </w:p>
    <w:p>
      <w:pPr>
        <w:spacing w:before="360" w:after="120"/>
      </w:pPr>
      <w:r>
        <w:rPr>
          <w:rFonts w:ascii="Segoe UI" w:hAnsi="Segoe UI"/>
          <w:b/>
          <w:color w:val="1E1B4B"/>
          <w:sz w:val="28"/>
        </w:rPr>
        <w:t>1. Pre-Read &amp; Assessment Objectives</w:t>
      </w:r>
    </w:p>
    <w:p>
      <w:pPr>
        <w:spacing w:line="300" w:lineRule="auto" w:after="240"/>
      </w:pPr>
      <w:r>
        <w:rPr>
          <w:rFonts w:ascii="Segoe UI" w:hAnsi="Segoe UI"/>
          <w:sz w:val="22"/>
        </w:rPr>
        <w:t>The objective of this assessment workshop is to align cross-functional enterprise stakeholders (CTOs, Infrastructure Leads, FinOps Managers, Product Directors) on model unit economics. This session breaks down the linear variables of serverless API consumption (caching hit ratios, prompt token structures) and directly evaluates them against the capital and operational requirements of private GPU VM node hosting (spot VM pricing, support hours, scaling efficiency).</w:t>
      </w:r>
    </w:p>
    <w:p>
      <w:pPr>
        <w:spacing w:before="360" w:after="120"/>
      </w:pPr>
      <w:r>
        <w:rPr>
          <w:rFonts w:ascii="Segoe UI" w:hAnsi="Segoe UI"/>
          <w:b/>
          <w:color w:val="1E1B4B"/>
          <w:sz w:val="28"/>
        </w:rPr>
        <w:t>2. The 90-Minute Agenda Pattern</w:t>
      </w:r>
    </w:p>
    <w:p>
      <w:pPr>
        <w:spacing w:line="300" w:lineRule="auto" w:after="240"/>
      </w:pPr>
      <w:r>
        <w:rPr>
          <w:rFonts w:ascii="Segoe UI" w:hAnsi="Segoe UI"/>
          <w:sz w:val="21"/>
        </w:rPr>
        <w:t>• Days 1-30: Quick Wins. Identify high-context system prompt blocks, establish prompt caching rules, and deploy session tracking headers. (Expected savings: 25-45%)</w:t>
        <w:br/>
      </w:r>
      <w:r>
        <w:rPr>
          <w:rFonts w:ascii="Segoe UI" w:hAnsi="Segoe UI"/>
          <w:sz w:val="21"/>
        </w:rPr>
        <w:t>• Days 31-60: Routing Gateway. Deploy LiteLLM or an internal routing proxy. Categorize prompts by complexity. Run short Assertion Checks on local open-weights replicas. (Expected savings: 15-30%)</w:t>
        <w:br/>
      </w:r>
      <w:r>
        <w:rPr>
          <w:rFonts w:ascii="Segoe UI" w:hAnsi="Segoe UI"/>
          <w:sz w:val="21"/>
        </w:rPr>
        <w:t>• Days 61-90: Amortized Hosting. Migrate high-frequency workloads to dedicated, autoscaled spot GPU pools running vLLM or TensorRT-LLM. Connect logging telemetry directly to FinOps tracking databases.</w:t>
      </w:r>
    </w:p>
    <w:p>
      <w:pPr>
        <w:spacing w:before="360" w:after="120"/>
      </w:pPr>
      <w:r>
        <w:rPr>
          <w:rFonts w:ascii="Segoe UI" w:hAnsi="Segoe UI"/>
          <w:b/>
          <w:color w:val="1E1B4B"/>
          <w:sz w:val="28"/>
        </w:rPr>
        <w:t>3. Facilitator Checklists &amp; Discussion Prompts</w:t>
      </w:r>
    </w:p>
    <w:p>
      <w:pPr>
        <w:spacing w:line="300" w:lineRule="auto" w:after="240"/>
      </w:pPr>
      <w:r>
        <w:rPr>
          <w:rFonts w:ascii="Segoe UI" w:hAnsi="Segoe UI"/>
          <w:sz w:val="21"/>
        </w:rPr>
        <w:t>• Are our system prompts structured identically across RAG user sessions to maximize caching efficiency?</w:t>
        <w:br/>
      </w:r>
      <w:r>
        <w:rPr>
          <w:rFonts w:ascii="Segoe UI" w:hAnsi="Segoe UI"/>
          <w:sz w:val="21"/>
        </w:rPr>
        <w:t>• What percentage of API calls require premium frontier model reasoning (GPT-4o) versus smaller local models (Llama-3-8B)?</w:t>
        <w:br/>
      </w:r>
      <w:r>
        <w:rPr>
          <w:rFonts w:ascii="Segoe UI" w:hAnsi="Segoe UI"/>
          <w:sz w:val="21"/>
        </w:rPr>
        <w:t>• Have we evaluated VM underutilization penalties? Are we paying for idle GPU hours during non-business periods?</w:t>
        <w:br/>
      </w:r>
      <w:r>
        <w:rPr>
          <w:rFonts w:ascii="Segoe UI" w:hAnsi="Segoe UI"/>
          <w:sz w:val="21"/>
        </w:rPr>
        <w:t>• How is output semantic integrity tested when swapping a model route to a cheaper alternative? Do we have structured judge assertion sets?</w:t>
      </w:r>
    </w:p>
    <w:p>
      <w:pPr>
        <w:spacing w:before="360" w:after="120"/>
      </w:pPr>
      <w:r>
        <w:rPr>
          <w:rFonts w:ascii="Segoe UI" w:hAnsi="Segoe UI"/>
          <w:b/>
          <w:color w:val="1E1B4B"/>
          <w:sz w:val="28"/>
        </w:rPr>
        <w:t>4. Alignment Matrix &amp; Deliverables</w:t>
      </w:r>
    </w:p>
    <w:p>
      <w:pPr>
        <w:spacing w:line="300" w:lineRule="auto" w:after="240"/>
      </w:pPr>
      <w:r>
        <w:rPr>
          <w:rFonts w:ascii="Segoe UI" w:hAnsi="Segoe UI"/>
          <w:sz w:val="22"/>
        </w:rPr>
        <w:t>At the workshop's conclusion, the facilitator must document three primary artifacts:</w:t>
        <w:br/>
      </w:r>
      <w:r>
        <w:rPr>
          <w:rFonts w:ascii="Segoe UI" w:hAnsi="Segoe UI"/>
          <w:sz w:val="21"/>
        </w:rPr>
        <w:t>1. Scored FinOps Maturity Matrix. Standardized across five key organizational capability dimensions.</w:t>
        <w:br/>
      </w:r>
      <w:r>
        <w:rPr>
          <w:rFonts w:ascii="Segoe UI" w:hAnsi="Segoe UI"/>
          <w:sz w:val="22"/>
        </w:rPr>
        <w:t>2. TCO Cost Comparison Report. Hard mathematical modeling showing the volume crossover point where hosting becomes financially dominant.</w:t>
        <w:br/>
      </w:r>
      <w:r>
        <w:rPr>
          <w:rFonts w:ascii="Segoe UI" w:hAnsi="Segoe UI"/>
          <w:sz w:val="22"/>
        </w:rPr>
        <w:t>3. 90-Day Priority Implementation Plan. Assigning timelines, resources, and specific optimization targets.</w:t>
      </w:r>
    </w:p>
    <w:sectPr w:rsidR="00FC693F" w:rsidRPr="0006063C" w:rsidSect="00034616">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Segoe UI" w:hAnsi="Segoe UI"/>
        <w:i/>
        <w:color w:val="9CA3AF"/>
        <w:sz w:val="17"/>
      </w:rPr>
      <w:t>Vatsal Shah • shahvatsal.com • contact@shahvatsal.com • Enterprise AI Optimization Guide</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egoe UI" w:hAnsi="Segoe UI"/>
      <w:color w:val="374151"/>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